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4F" w:rsidRDefault="0004534F" w:rsidP="00EE075D">
      <w:pPr>
        <w:spacing w:after="120" w:line="240" w:lineRule="auto"/>
        <w:ind w:right="-45"/>
        <w:rPr>
          <w:rFonts w:ascii="Sylfaen" w:hAnsi="Sylfaen"/>
        </w:rPr>
      </w:pPr>
    </w:p>
    <w:p w:rsidR="0004534F" w:rsidRDefault="0004534F" w:rsidP="0004534F">
      <w:pPr>
        <w:pStyle w:val="NoSpacing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KGJK, Nr. </w:t>
      </w:r>
      <w:r w:rsidR="00033C24">
        <w:rPr>
          <w:rFonts w:ascii="Sylfaen" w:hAnsi="Sylfaen"/>
          <w:b/>
        </w:rPr>
        <w:t>18</w:t>
      </w:r>
      <w:r w:rsidR="002C1B28">
        <w:rPr>
          <w:rFonts w:ascii="Sylfaen" w:hAnsi="Sylfaen"/>
          <w:b/>
        </w:rPr>
        <w:t>3</w:t>
      </w:r>
      <w:r>
        <w:rPr>
          <w:rFonts w:ascii="Sylfaen" w:hAnsi="Sylfaen"/>
          <w:b/>
        </w:rPr>
        <w:t>/2018</w:t>
      </w:r>
    </w:p>
    <w:p w:rsidR="0004534F" w:rsidRDefault="00033C24" w:rsidP="0004534F">
      <w:pPr>
        <w:pStyle w:val="NoSpacing"/>
        <w:jc w:val="right"/>
        <w:rPr>
          <w:color w:val="000000" w:themeColor="text1"/>
        </w:rPr>
      </w:pPr>
      <w:r>
        <w:rPr>
          <w:rFonts w:ascii="Sylfaen" w:hAnsi="Sylfaen"/>
          <w:b/>
          <w:color w:val="000000" w:themeColor="text1"/>
        </w:rPr>
        <w:t>24 tetor</w:t>
      </w:r>
      <w:r w:rsidR="0004534F">
        <w:rPr>
          <w:rFonts w:ascii="Sylfaen" w:hAnsi="Sylfaen"/>
          <w:b/>
          <w:color w:val="000000" w:themeColor="text1"/>
        </w:rPr>
        <w:t xml:space="preserve"> 2018</w:t>
      </w:r>
      <w:r w:rsidR="0004534F">
        <w:rPr>
          <w:color w:val="000000" w:themeColor="text1"/>
        </w:rPr>
        <w:t xml:space="preserve"> </w:t>
      </w:r>
    </w:p>
    <w:p w:rsidR="0004534F" w:rsidRDefault="0004534F" w:rsidP="0004534F">
      <w:pPr>
        <w:pStyle w:val="NoSpacing"/>
        <w:jc w:val="right"/>
        <w:rPr>
          <w:color w:val="000000" w:themeColor="text1"/>
        </w:rPr>
      </w:pPr>
    </w:p>
    <w:p w:rsidR="0004534F" w:rsidRDefault="0004534F" w:rsidP="0004534F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b/>
          <w:color w:val="000000" w:themeColor="text1"/>
        </w:rPr>
        <w:t>KËSHILLI GJYQËSOR I KOSOVËS,</w:t>
      </w:r>
      <w:r>
        <w:rPr>
          <w:rFonts w:ascii="Sylfaen" w:hAnsi="Sylfaen"/>
          <w:color w:val="000000" w:themeColor="text1"/>
        </w:rPr>
        <w:t xml:space="preserve"> KGJK) në bazë të nenit 108 të Kushtetutës së Republikës së Kosovës,  nenit 4 pika 1.15 dhe nenit 20 paragrafi 1 dhe 2  të Ligjit nr. 03/L-223  për  Këshillin Gjyqësor të Kosovës, nenit 5 paragrafi 1 dhe 2 të Rregullores 15/2016 për Transferimin dhe Caktimin e Gjyqtarëve dhe nenit 30 të </w:t>
      </w:r>
      <w:r>
        <w:rPr>
          <w:rFonts w:ascii="Sylfaen" w:hAnsi="Sylfaen"/>
          <w:color w:val="1A1A1A"/>
          <w:w w:val="104"/>
        </w:rPr>
        <w:t>Rregullore</w:t>
      </w:r>
      <w:r>
        <w:rPr>
          <w:rFonts w:ascii="Sylfaen" w:hAnsi="Sylfaen"/>
          <w:color w:val="1A1A1A"/>
          <w:spacing w:val="7"/>
          <w:w w:val="104"/>
        </w:rPr>
        <w:t xml:space="preserve">s </w:t>
      </w:r>
      <w:r>
        <w:rPr>
          <w:rFonts w:ascii="Sylfaen" w:hAnsi="Sylfaen"/>
          <w:color w:val="1A1A1A"/>
          <w:w w:val="104"/>
        </w:rPr>
        <w:t xml:space="preserve">mbi </w:t>
      </w:r>
      <w:r>
        <w:rPr>
          <w:rFonts w:ascii="Sylfaen" w:hAnsi="Sylfaen"/>
          <w:color w:val="1A1A1A"/>
        </w:rPr>
        <w:t>Organ</w:t>
      </w:r>
      <w:r>
        <w:rPr>
          <w:rFonts w:ascii="Sylfaen" w:hAnsi="Sylfaen"/>
          <w:color w:val="282828"/>
        </w:rPr>
        <w:t>i</w:t>
      </w:r>
      <w:r>
        <w:rPr>
          <w:rFonts w:ascii="Sylfaen" w:hAnsi="Sylfaen"/>
          <w:color w:val="1A1A1A"/>
        </w:rPr>
        <w:t>zimin</w:t>
      </w:r>
      <w:r>
        <w:rPr>
          <w:rFonts w:ascii="Sylfaen" w:hAnsi="Sylfaen"/>
          <w:color w:val="1A1A1A"/>
          <w:spacing w:val="27"/>
        </w:rPr>
        <w:t xml:space="preserve"> </w:t>
      </w:r>
      <w:r>
        <w:rPr>
          <w:rFonts w:ascii="Sylfaen" w:hAnsi="Sylfaen"/>
          <w:color w:val="1A1A1A"/>
        </w:rPr>
        <w:t>dhe Vep</w:t>
      </w:r>
      <w:r>
        <w:rPr>
          <w:rFonts w:ascii="Sylfaen" w:hAnsi="Sylfaen"/>
          <w:color w:val="282828"/>
        </w:rPr>
        <w:t>ri</w:t>
      </w:r>
      <w:r>
        <w:rPr>
          <w:rFonts w:ascii="Sylfaen" w:hAnsi="Sylfaen"/>
          <w:color w:val="1A1A1A"/>
        </w:rPr>
        <w:t>mt</w:t>
      </w:r>
      <w:r>
        <w:rPr>
          <w:rFonts w:ascii="Sylfaen" w:hAnsi="Sylfaen"/>
          <w:color w:val="1A1A1A"/>
          <w:spacing w:val="-1"/>
        </w:rPr>
        <w:t>a</w:t>
      </w:r>
      <w:r>
        <w:rPr>
          <w:rFonts w:ascii="Sylfaen" w:hAnsi="Sylfaen"/>
          <w:color w:val="282828"/>
        </w:rPr>
        <w:t>ri</w:t>
      </w:r>
      <w:r>
        <w:rPr>
          <w:rFonts w:ascii="Sylfaen" w:hAnsi="Sylfaen"/>
          <w:color w:val="1A1A1A"/>
        </w:rPr>
        <w:t>në e</w:t>
      </w:r>
      <w:r>
        <w:rPr>
          <w:rFonts w:ascii="Sylfaen" w:hAnsi="Sylfaen"/>
          <w:color w:val="1A1A1A"/>
          <w:spacing w:val="1"/>
        </w:rPr>
        <w:t xml:space="preserve"> </w:t>
      </w:r>
      <w:r>
        <w:rPr>
          <w:rFonts w:ascii="Sylfaen" w:hAnsi="Sylfaen"/>
          <w:color w:val="1A1A1A"/>
        </w:rPr>
        <w:t>Brendshm</w:t>
      </w:r>
      <w:r>
        <w:rPr>
          <w:rFonts w:ascii="Sylfaen" w:hAnsi="Sylfaen"/>
          <w:color w:val="1A1A1A"/>
          <w:spacing w:val="9"/>
        </w:rPr>
        <w:t xml:space="preserve">e </w:t>
      </w:r>
      <w:r>
        <w:rPr>
          <w:rFonts w:ascii="Sylfaen" w:hAnsi="Sylfaen"/>
          <w:color w:val="1A1A1A"/>
        </w:rPr>
        <w:t xml:space="preserve">të </w:t>
      </w:r>
      <w:r>
        <w:rPr>
          <w:rFonts w:ascii="Sylfaen" w:hAnsi="Sylfaen"/>
          <w:color w:val="282828"/>
        </w:rPr>
        <w:t>K</w:t>
      </w:r>
      <w:r>
        <w:rPr>
          <w:rFonts w:ascii="Sylfaen" w:hAnsi="Sylfaen"/>
          <w:color w:val="1A1A1A"/>
        </w:rPr>
        <w:t>ëshi</w:t>
      </w:r>
      <w:r>
        <w:rPr>
          <w:rFonts w:ascii="Sylfaen" w:hAnsi="Sylfaen"/>
          <w:color w:val="1A1A1A"/>
          <w:spacing w:val="-1"/>
        </w:rPr>
        <w:t>l</w:t>
      </w:r>
      <w:r>
        <w:rPr>
          <w:rFonts w:ascii="Sylfaen" w:hAnsi="Sylfaen"/>
          <w:color w:val="282828"/>
        </w:rPr>
        <w:t>li</w:t>
      </w:r>
      <w:r>
        <w:rPr>
          <w:rFonts w:ascii="Sylfaen" w:hAnsi="Sylfaen"/>
          <w:color w:val="1A1A1A"/>
        </w:rPr>
        <w:t>t</w:t>
      </w:r>
      <w:r>
        <w:rPr>
          <w:rFonts w:ascii="Sylfaen" w:hAnsi="Sylfaen"/>
          <w:color w:val="000000" w:themeColor="text1"/>
        </w:rPr>
        <w:t>, në mbledhjen e 20</w:t>
      </w:r>
      <w:r w:rsidR="00033C24">
        <w:rPr>
          <w:rFonts w:ascii="Sylfaen" w:hAnsi="Sylfaen"/>
          <w:color w:val="000000" w:themeColor="text1"/>
        </w:rPr>
        <w:t>7</w:t>
      </w:r>
      <w:r>
        <w:rPr>
          <w:rFonts w:ascii="Sylfaen" w:hAnsi="Sylfaen"/>
          <w:color w:val="000000" w:themeColor="text1"/>
        </w:rPr>
        <w:t xml:space="preserve"> – të,  të mbajtur me </w:t>
      </w:r>
      <w:r w:rsidR="00033C24">
        <w:rPr>
          <w:rFonts w:ascii="Sylfaen" w:hAnsi="Sylfaen"/>
          <w:color w:val="000000" w:themeColor="text1"/>
        </w:rPr>
        <w:t xml:space="preserve">24 tetor </w:t>
      </w:r>
      <w:r>
        <w:rPr>
          <w:rFonts w:ascii="Sylfaen" w:hAnsi="Sylfaen"/>
          <w:color w:val="000000" w:themeColor="text1"/>
        </w:rPr>
        <w:t xml:space="preserve"> 2018, merr këtë:</w:t>
      </w:r>
    </w:p>
    <w:p w:rsidR="0004534F" w:rsidRDefault="0004534F" w:rsidP="0004534F">
      <w:pPr>
        <w:spacing w:after="120" w:line="240" w:lineRule="auto"/>
        <w:ind w:right="720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V E N D I M</w:t>
      </w:r>
    </w:p>
    <w:p w:rsidR="009775CE" w:rsidRDefault="00FC4BDD" w:rsidP="0004534F">
      <w:pPr>
        <w:pStyle w:val="ListParagraph"/>
        <w:numPr>
          <w:ilvl w:val="0"/>
          <w:numId w:val="9"/>
        </w:numPr>
        <w:spacing w:after="240" w:line="240" w:lineRule="auto"/>
        <w:ind w:left="1134" w:right="4" w:hanging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Z. </w:t>
      </w:r>
      <w:proofErr w:type="spellStart"/>
      <w:r w:rsidR="002C1B28">
        <w:rPr>
          <w:rFonts w:ascii="Sylfaen" w:hAnsi="Sylfaen"/>
        </w:rPr>
        <w:t>Lutfi</w:t>
      </w:r>
      <w:proofErr w:type="spellEnd"/>
      <w:r w:rsidR="002C1B28">
        <w:rPr>
          <w:rFonts w:ascii="Sylfaen" w:hAnsi="Sylfaen"/>
        </w:rPr>
        <w:t xml:space="preserve"> Shala</w:t>
      </w:r>
      <w:r w:rsidR="0004534F">
        <w:rPr>
          <w:rFonts w:ascii="Sylfaen" w:hAnsi="Sylfaen"/>
        </w:rPr>
        <w:t xml:space="preserve">, </w:t>
      </w:r>
      <w:r w:rsidR="00033C24">
        <w:rPr>
          <w:rFonts w:ascii="Sylfaen" w:hAnsi="Sylfaen"/>
        </w:rPr>
        <w:t>gjyqtar</w:t>
      </w:r>
      <w:r w:rsidR="00C541C3">
        <w:rPr>
          <w:rFonts w:ascii="Sylfaen" w:hAnsi="Sylfaen"/>
        </w:rPr>
        <w:t xml:space="preserve"> në Gjykatën </w:t>
      </w:r>
      <w:r w:rsidR="00F531B1">
        <w:rPr>
          <w:rFonts w:ascii="Sylfaen" w:hAnsi="Sylfaen"/>
        </w:rPr>
        <w:t>Themelore</w:t>
      </w:r>
      <w:r w:rsidR="004C5DFA">
        <w:rPr>
          <w:rFonts w:ascii="Sylfaen" w:hAnsi="Sylfaen"/>
        </w:rPr>
        <w:t xml:space="preserve"> në</w:t>
      </w:r>
      <w:r w:rsidR="00F531B1">
        <w:rPr>
          <w:rFonts w:ascii="Sylfaen" w:hAnsi="Sylfaen"/>
        </w:rPr>
        <w:t xml:space="preserve"> </w:t>
      </w:r>
      <w:r w:rsidR="002C1B28">
        <w:rPr>
          <w:rFonts w:ascii="Sylfaen" w:hAnsi="Sylfaen"/>
        </w:rPr>
        <w:t>Gjakovë</w:t>
      </w:r>
      <w:r w:rsidR="00033C24">
        <w:rPr>
          <w:rFonts w:ascii="Sylfaen" w:hAnsi="Sylfaen"/>
        </w:rPr>
        <w:t xml:space="preserve"> i vazhdohe</w:t>
      </w:r>
      <w:r w:rsidR="002C1B28">
        <w:rPr>
          <w:rFonts w:ascii="Sylfaen" w:hAnsi="Sylfaen"/>
        </w:rPr>
        <w:t xml:space="preserve">t transferimi i  përkohshëm nga </w:t>
      </w:r>
      <w:r w:rsidR="00033C24">
        <w:rPr>
          <w:rFonts w:ascii="Sylfaen" w:hAnsi="Sylfaen"/>
        </w:rPr>
        <w:t xml:space="preserve">Gjykata </w:t>
      </w:r>
      <w:r w:rsidR="003D5ACD">
        <w:rPr>
          <w:rFonts w:ascii="Sylfaen" w:hAnsi="Sylfaen"/>
        </w:rPr>
        <w:t xml:space="preserve">Themelore në </w:t>
      </w:r>
      <w:r w:rsidR="002A1434">
        <w:rPr>
          <w:rFonts w:ascii="Sylfaen" w:hAnsi="Sylfaen"/>
        </w:rPr>
        <w:t>Gjakovë</w:t>
      </w:r>
      <w:r w:rsidR="00033C24">
        <w:rPr>
          <w:rFonts w:ascii="Sylfaen" w:hAnsi="Sylfaen"/>
        </w:rPr>
        <w:t xml:space="preserve"> </w:t>
      </w:r>
      <w:r w:rsidR="003D5ACD">
        <w:rPr>
          <w:rFonts w:ascii="Sylfaen" w:hAnsi="Sylfaen"/>
        </w:rPr>
        <w:t xml:space="preserve">në Gjykatën Themelore në </w:t>
      </w:r>
      <w:r w:rsidR="00F531B1">
        <w:rPr>
          <w:rFonts w:ascii="Sylfaen" w:hAnsi="Sylfaen"/>
        </w:rPr>
        <w:t xml:space="preserve">Prishtinë, </w:t>
      </w:r>
      <w:r w:rsidR="003D5ACD">
        <w:rPr>
          <w:rFonts w:ascii="Sylfaen" w:hAnsi="Sylfaen"/>
        </w:rPr>
        <w:t>Departamenti për Krime të Rë</w:t>
      </w:r>
      <w:r w:rsidR="00033C24">
        <w:rPr>
          <w:rFonts w:ascii="Sylfaen" w:hAnsi="Sylfaen"/>
        </w:rPr>
        <w:t>nda, në kohëzgjatje prej gjashtë(6) muajsh.</w:t>
      </w:r>
    </w:p>
    <w:p w:rsidR="0004534F" w:rsidRDefault="0004534F" w:rsidP="009775CE">
      <w:pPr>
        <w:pStyle w:val="ListParagraph"/>
        <w:spacing w:after="240" w:line="240" w:lineRule="auto"/>
        <w:ind w:left="1134" w:right="4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4534F" w:rsidRPr="009775CE" w:rsidRDefault="0004534F" w:rsidP="009775CE">
      <w:pPr>
        <w:pStyle w:val="ListParagraph"/>
        <w:numPr>
          <w:ilvl w:val="0"/>
          <w:numId w:val="9"/>
        </w:numPr>
        <w:spacing w:after="240" w:line="240" w:lineRule="auto"/>
        <w:ind w:left="1134" w:right="4" w:hanging="567"/>
        <w:jc w:val="both"/>
        <w:rPr>
          <w:rFonts w:ascii="Sylfaen" w:hAnsi="Sylfaen"/>
        </w:rPr>
      </w:pPr>
      <w:r w:rsidRPr="009775CE">
        <w:rPr>
          <w:rFonts w:ascii="Sylfaen" w:hAnsi="Sylfaen"/>
        </w:rPr>
        <w:t xml:space="preserve">Vendimi hyn në fuqi me datë </w:t>
      </w:r>
      <w:r w:rsidR="00033C24">
        <w:rPr>
          <w:rFonts w:ascii="Sylfaen" w:hAnsi="Sylfaen"/>
        </w:rPr>
        <w:t>24 tetor</w:t>
      </w:r>
      <w:r w:rsidRPr="009775CE">
        <w:rPr>
          <w:rFonts w:ascii="Sylfaen" w:hAnsi="Sylfaen"/>
        </w:rPr>
        <w:t xml:space="preserve"> 2018.</w:t>
      </w:r>
    </w:p>
    <w:p w:rsidR="009E5DC7" w:rsidRPr="009D7CB5" w:rsidRDefault="0004534F" w:rsidP="009D7CB5">
      <w:pPr>
        <w:spacing w:after="120" w:line="240" w:lineRule="auto"/>
        <w:ind w:right="720"/>
        <w:jc w:val="center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A r s y e t i m</w:t>
      </w:r>
    </w:p>
    <w:p w:rsidR="00033C24" w:rsidRDefault="004E5F72" w:rsidP="004E5F72">
      <w:pPr>
        <w:jc w:val="both"/>
        <w:rPr>
          <w:rFonts w:ascii="Sylfaen" w:hAnsi="Sylfaen"/>
        </w:rPr>
      </w:pPr>
      <w:r w:rsidRPr="00A5491C">
        <w:rPr>
          <w:rFonts w:ascii="Sylfaen" w:hAnsi="Sylfaen"/>
          <w:color w:val="000000" w:themeColor="text1"/>
        </w:rPr>
        <w:t xml:space="preserve">Këshilli Gjyqësor i Kosovës me datë </w:t>
      </w:r>
      <w:r w:rsidR="00033C24">
        <w:rPr>
          <w:rFonts w:ascii="Sylfaen" w:hAnsi="Sylfaen"/>
          <w:color w:val="000000" w:themeColor="text1"/>
        </w:rPr>
        <w:t>2 maj 2018</w:t>
      </w:r>
      <w:r w:rsidRPr="00A5491C">
        <w:rPr>
          <w:rFonts w:ascii="Sylfaen" w:hAnsi="Sylfaen"/>
          <w:color w:val="000000" w:themeColor="text1"/>
        </w:rPr>
        <w:t xml:space="preserve">  </w:t>
      </w:r>
      <w:r w:rsidR="00033C24">
        <w:rPr>
          <w:rFonts w:ascii="Sylfaen" w:hAnsi="Sylfaen"/>
          <w:color w:val="000000" w:themeColor="text1"/>
        </w:rPr>
        <w:t xml:space="preserve">në </w:t>
      </w:r>
      <w:r w:rsidR="00C52652">
        <w:rPr>
          <w:rFonts w:ascii="Sylfaen" w:hAnsi="Sylfaen"/>
          <w:color w:val="000000" w:themeColor="text1"/>
        </w:rPr>
        <w:t>mbështetje</w:t>
      </w:r>
      <w:r w:rsidR="00033C24">
        <w:rPr>
          <w:rFonts w:ascii="Sylfaen" w:hAnsi="Sylfaen"/>
          <w:color w:val="000000" w:themeColor="text1"/>
        </w:rPr>
        <w:t xml:space="preserve"> të nenit 108 të Kushtetutës së Republikës së Kosovës,  nenit 4 pika 1.15 dhe nenit 20 paragrafi 1 dhe 2  të Ligjit nr. 03/L-223  për  Këshillin Gjyqësor të Kosovës, nenit 5 paragrafi 1 dhe 2 të Rregullores 15/2016 për Transferimin dhe Caktimin e Gjyqtarëve,  në pajtim me kryetarin e  Gjykatës </w:t>
      </w:r>
      <w:r w:rsidR="00C52652">
        <w:rPr>
          <w:rFonts w:ascii="Sylfaen" w:hAnsi="Sylfaen"/>
          <w:color w:val="000000" w:themeColor="text1"/>
        </w:rPr>
        <w:t xml:space="preserve">Themelore </w:t>
      </w:r>
      <w:r w:rsidR="00317539">
        <w:rPr>
          <w:rFonts w:ascii="Sylfaen" w:hAnsi="Sylfaen"/>
          <w:color w:val="000000" w:themeColor="text1"/>
        </w:rPr>
        <w:t xml:space="preserve">në </w:t>
      </w:r>
      <w:r w:rsidR="002C1B28">
        <w:rPr>
          <w:rFonts w:ascii="Sylfaen" w:hAnsi="Sylfaen"/>
          <w:color w:val="000000" w:themeColor="text1"/>
        </w:rPr>
        <w:t>Gjakovë</w:t>
      </w:r>
      <w:r w:rsidR="00C52652">
        <w:rPr>
          <w:rFonts w:ascii="Sylfaen" w:hAnsi="Sylfaen"/>
          <w:color w:val="000000" w:themeColor="text1"/>
        </w:rPr>
        <w:t xml:space="preserve">  i cili  </w:t>
      </w:r>
      <w:r w:rsidR="00317539">
        <w:rPr>
          <w:rFonts w:ascii="Sylfaen" w:hAnsi="Sylfaen"/>
          <w:color w:val="000000" w:themeColor="text1"/>
        </w:rPr>
        <w:t>pas konsultimit</w:t>
      </w:r>
      <w:r w:rsidR="00033C24">
        <w:rPr>
          <w:rFonts w:ascii="Sylfaen" w:hAnsi="Sylfaen"/>
          <w:color w:val="000000" w:themeColor="text1"/>
        </w:rPr>
        <w:t xml:space="preserve"> me </w:t>
      </w:r>
      <w:r w:rsidR="00C52652">
        <w:rPr>
          <w:rFonts w:ascii="Sylfaen" w:hAnsi="Sylfaen"/>
          <w:color w:val="000000" w:themeColor="text1"/>
        </w:rPr>
        <w:t>gjyqtar</w:t>
      </w:r>
      <w:r w:rsidR="00033C24">
        <w:rPr>
          <w:rFonts w:ascii="Sylfaen" w:hAnsi="Sylfaen"/>
          <w:color w:val="000000" w:themeColor="text1"/>
        </w:rPr>
        <w:t xml:space="preserve">   </w:t>
      </w:r>
      <w:r w:rsidR="00C52652">
        <w:rPr>
          <w:rFonts w:ascii="Sylfaen" w:hAnsi="Sylfaen"/>
          <w:color w:val="000000" w:themeColor="text1"/>
        </w:rPr>
        <w:t xml:space="preserve">kishte marr pëlqimin e </w:t>
      </w:r>
      <w:r w:rsidR="00033C24">
        <w:rPr>
          <w:rFonts w:ascii="Sylfaen" w:hAnsi="Sylfaen"/>
          <w:color w:val="000000" w:themeColor="text1"/>
        </w:rPr>
        <w:t xml:space="preserve"> </w:t>
      </w:r>
      <w:r w:rsidR="00C52652">
        <w:rPr>
          <w:rFonts w:ascii="Sylfaen" w:hAnsi="Sylfaen"/>
          <w:color w:val="000000" w:themeColor="text1"/>
        </w:rPr>
        <w:t xml:space="preserve">z. </w:t>
      </w:r>
      <w:r w:rsidR="002C1B28">
        <w:rPr>
          <w:rFonts w:ascii="Sylfaen" w:hAnsi="Sylfaen"/>
          <w:color w:val="000000" w:themeColor="text1"/>
        </w:rPr>
        <w:t>Shala</w:t>
      </w:r>
      <w:r w:rsidR="00C52652">
        <w:rPr>
          <w:rFonts w:ascii="Sylfaen" w:hAnsi="Sylfaen"/>
          <w:color w:val="000000" w:themeColor="text1"/>
        </w:rPr>
        <w:t xml:space="preserve">,  kishte vendosur që z. </w:t>
      </w:r>
      <w:proofErr w:type="spellStart"/>
      <w:r w:rsidR="002C1B28">
        <w:rPr>
          <w:rFonts w:ascii="Sylfaen" w:hAnsi="Sylfaen"/>
          <w:color w:val="000000" w:themeColor="text1"/>
        </w:rPr>
        <w:t>Lutfi</w:t>
      </w:r>
      <w:proofErr w:type="spellEnd"/>
      <w:r w:rsidR="002C1B28">
        <w:rPr>
          <w:rFonts w:ascii="Sylfaen" w:hAnsi="Sylfaen"/>
          <w:color w:val="000000" w:themeColor="text1"/>
        </w:rPr>
        <w:t xml:space="preserve"> Shala</w:t>
      </w:r>
      <w:r w:rsidR="00C52652">
        <w:rPr>
          <w:rFonts w:ascii="Sylfaen" w:hAnsi="Sylfaen"/>
          <w:color w:val="000000" w:themeColor="text1"/>
        </w:rPr>
        <w:t xml:space="preserve"> të transferohet përkohësisht nga Gjykata Themelore </w:t>
      </w:r>
      <w:r w:rsidR="00317539">
        <w:rPr>
          <w:rFonts w:ascii="Sylfaen" w:hAnsi="Sylfaen"/>
          <w:color w:val="000000" w:themeColor="text1"/>
        </w:rPr>
        <w:t xml:space="preserve">në </w:t>
      </w:r>
      <w:r w:rsidR="002C1B28">
        <w:rPr>
          <w:rFonts w:ascii="Sylfaen" w:hAnsi="Sylfaen"/>
          <w:color w:val="000000" w:themeColor="text1"/>
        </w:rPr>
        <w:t>Gjakovë</w:t>
      </w:r>
      <w:r w:rsidR="00C52652">
        <w:rPr>
          <w:rFonts w:ascii="Sylfaen" w:hAnsi="Sylfaen"/>
          <w:color w:val="000000" w:themeColor="text1"/>
        </w:rPr>
        <w:t xml:space="preserve"> </w:t>
      </w:r>
      <w:r w:rsidR="00C52652">
        <w:rPr>
          <w:rFonts w:ascii="Sylfaen" w:hAnsi="Sylfaen"/>
        </w:rPr>
        <w:t xml:space="preserve">në Gjykatën Themelore </w:t>
      </w:r>
      <w:r w:rsidR="00317539">
        <w:rPr>
          <w:rFonts w:ascii="Sylfaen" w:hAnsi="Sylfaen"/>
        </w:rPr>
        <w:t xml:space="preserve">në </w:t>
      </w:r>
      <w:r w:rsidR="00C52652">
        <w:rPr>
          <w:rFonts w:ascii="Sylfaen" w:hAnsi="Sylfaen"/>
        </w:rPr>
        <w:t xml:space="preserve">Prishtinë, Departamenti për Krime të Renda, në kohëzgjatje prej gjashtë(6) muajsh, me mundësi vazhdimi. </w:t>
      </w:r>
    </w:p>
    <w:p w:rsidR="003D5ACD" w:rsidRPr="0032282E" w:rsidRDefault="00C52652" w:rsidP="003D5ACD">
      <w:pPr>
        <w:pStyle w:val="Header"/>
        <w:tabs>
          <w:tab w:val="left" w:pos="360"/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2C1B28">
        <w:rPr>
          <w:rFonts w:ascii="Sylfaen" w:hAnsi="Sylfaen"/>
        </w:rPr>
        <w:t>M</w:t>
      </w:r>
      <w:r>
        <w:rPr>
          <w:rFonts w:ascii="Sylfaen" w:hAnsi="Sylfaen"/>
        </w:rPr>
        <w:t>e datë 23 tetor 2018</w:t>
      </w:r>
      <w:r w:rsidR="002C1B28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 kryetarja e Gjykatës Themelore </w:t>
      </w:r>
      <w:r w:rsidR="00317539">
        <w:rPr>
          <w:rFonts w:ascii="Sylfaen" w:hAnsi="Sylfaen"/>
        </w:rPr>
        <w:t xml:space="preserve">në </w:t>
      </w:r>
      <w:r>
        <w:rPr>
          <w:rFonts w:ascii="Sylfaen" w:hAnsi="Sylfaen"/>
        </w:rPr>
        <w:t xml:space="preserve">Prishtinë </w:t>
      </w:r>
      <w:proofErr w:type="spellStart"/>
      <w:r>
        <w:rPr>
          <w:rFonts w:ascii="Sylfaen" w:hAnsi="Sylfaen"/>
        </w:rPr>
        <w:t>znj</w:t>
      </w:r>
      <w:proofErr w:type="spellEnd"/>
      <w:r>
        <w:rPr>
          <w:rFonts w:ascii="Sylfaen" w:hAnsi="Sylfaen"/>
        </w:rPr>
        <w:t>. Aferdita Bytyqi</w:t>
      </w:r>
      <w:r w:rsidR="002C1B28">
        <w:rPr>
          <w:rFonts w:ascii="Sylfaen" w:hAnsi="Sylfaen"/>
        </w:rPr>
        <w:t>,</w:t>
      </w:r>
      <w:r>
        <w:rPr>
          <w:rFonts w:ascii="Sylfaen" w:hAnsi="Sylfaen"/>
        </w:rPr>
        <w:t xml:space="preserve"> ka parashtruar një kërkesë përmes së cilës ka kërkuar </w:t>
      </w:r>
      <w:r w:rsidR="001C12C5">
        <w:rPr>
          <w:rFonts w:ascii="Sylfaen" w:hAnsi="Sylfaen"/>
        </w:rPr>
        <w:t xml:space="preserve">nga KGJK që  për gjyqtaret  z. </w:t>
      </w:r>
      <w:proofErr w:type="spellStart"/>
      <w:r w:rsidR="001C12C5">
        <w:rPr>
          <w:rFonts w:ascii="Sylfaen" w:hAnsi="Sylfaen"/>
        </w:rPr>
        <w:t>Mustafë</w:t>
      </w:r>
      <w:proofErr w:type="spellEnd"/>
      <w:r w:rsidR="001C12C5">
        <w:rPr>
          <w:rFonts w:ascii="Sylfaen" w:hAnsi="Sylfaen"/>
        </w:rPr>
        <w:t xml:space="preserve"> </w:t>
      </w:r>
      <w:proofErr w:type="spellStart"/>
      <w:r w:rsidR="001C12C5">
        <w:rPr>
          <w:rFonts w:ascii="Sylfaen" w:hAnsi="Sylfaen"/>
        </w:rPr>
        <w:t>Tahiri</w:t>
      </w:r>
      <w:proofErr w:type="spellEnd"/>
      <w:r w:rsidR="001C12C5">
        <w:rPr>
          <w:rFonts w:ascii="Sylfaen" w:hAnsi="Sylfaen"/>
        </w:rPr>
        <w:t xml:space="preserve">, </w:t>
      </w:r>
      <w:proofErr w:type="spellStart"/>
      <w:r w:rsidR="001C12C5">
        <w:rPr>
          <w:rFonts w:ascii="Sylfaen" w:hAnsi="Sylfaen"/>
        </w:rPr>
        <w:t>znj</w:t>
      </w:r>
      <w:proofErr w:type="spellEnd"/>
      <w:r w:rsidR="001C12C5">
        <w:rPr>
          <w:rFonts w:ascii="Sylfaen" w:hAnsi="Sylfaen"/>
        </w:rPr>
        <w:t xml:space="preserve">. </w:t>
      </w:r>
      <w:proofErr w:type="spellStart"/>
      <w:r w:rsidR="001C12C5">
        <w:rPr>
          <w:rFonts w:ascii="Sylfaen" w:hAnsi="Sylfaen"/>
        </w:rPr>
        <w:t>Nushe</w:t>
      </w:r>
      <w:proofErr w:type="spellEnd"/>
      <w:r w:rsidR="001C12C5">
        <w:rPr>
          <w:rFonts w:ascii="Sylfaen" w:hAnsi="Sylfaen"/>
        </w:rPr>
        <w:t xml:space="preserve"> Meka dhe z. </w:t>
      </w:r>
      <w:proofErr w:type="spellStart"/>
      <w:r w:rsidR="001C12C5">
        <w:rPr>
          <w:rFonts w:ascii="Sylfaen" w:hAnsi="Sylfaen"/>
        </w:rPr>
        <w:t>Lutfi</w:t>
      </w:r>
      <w:proofErr w:type="spellEnd"/>
      <w:r w:rsidR="001C12C5">
        <w:rPr>
          <w:rFonts w:ascii="Sylfaen" w:hAnsi="Sylfaen"/>
        </w:rPr>
        <w:t xml:space="preserve"> Shala të vendos vazhdimin e transferimit të  përkohshëm, </w:t>
      </w:r>
      <w:r w:rsidR="00E90731">
        <w:rPr>
          <w:rFonts w:ascii="Sylfaen" w:hAnsi="Sylfaen"/>
        </w:rPr>
        <w:t>pasi që  Gjykata Themelore</w:t>
      </w:r>
      <w:r w:rsidR="003D5ACD">
        <w:rPr>
          <w:rFonts w:ascii="Sylfaen" w:hAnsi="Sylfaen"/>
        </w:rPr>
        <w:t xml:space="preserve"> në Prishtinë është më</w:t>
      </w:r>
      <w:r w:rsidR="00E90731">
        <w:rPr>
          <w:rFonts w:ascii="Sylfaen" w:hAnsi="Sylfaen"/>
        </w:rPr>
        <w:t xml:space="preserve"> e ngarkuara me lëndët </w:t>
      </w:r>
      <w:r w:rsidR="003D5ACD">
        <w:rPr>
          <w:rFonts w:ascii="Sylfaen" w:hAnsi="Sylfaen"/>
        </w:rPr>
        <w:t xml:space="preserve"> ‘’LV’’, dhe më</w:t>
      </w:r>
      <w:r w:rsidR="00E90731">
        <w:rPr>
          <w:rFonts w:ascii="Sylfaen" w:hAnsi="Sylfaen"/>
        </w:rPr>
        <w:t xml:space="preserve"> që gjyqtarët e sipërpërmendur janë të </w:t>
      </w:r>
      <w:r w:rsidR="003D5ACD">
        <w:rPr>
          <w:rFonts w:ascii="Sylfaen" w:hAnsi="Sylfaen"/>
        </w:rPr>
        <w:t xml:space="preserve"> ngarkuar me këtë kategori të lëndë</w:t>
      </w:r>
      <w:r w:rsidR="00E90731">
        <w:rPr>
          <w:rFonts w:ascii="Sylfaen" w:hAnsi="Sylfaen"/>
        </w:rPr>
        <w:t xml:space="preserve">ve ‘’LV’’ dhe </w:t>
      </w:r>
      <w:r w:rsidR="001C12C5">
        <w:rPr>
          <w:rFonts w:ascii="Sylfaen" w:hAnsi="Sylfaen"/>
        </w:rPr>
        <w:t xml:space="preserve"> kanë tre</w:t>
      </w:r>
      <w:r w:rsidR="003D5ACD">
        <w:rPr>
          <w:rFonts w:ascii="Sylfaen" w:hAnsi="Sylfaen"/>
        </w:rPr>
        <w:t>guar rezultate në zgjidhjen e lëndëve në</w:t>
      </w:r>
      <w:r w:rsidR="001C12C5">
        <w:rPr>
          <w:rFonts w:ascii="Sylfaen" w:hAnsi="Sylfaen"/>
        </w:rPr>
        <w:t xml:space="preserve"> mënyrë</w:t>
      </w:r>
      <w:r w:rsidR="007D0D3C">
        <w:rPr>
          <w:rFonts w:ascii="Sylfaen" w:hAnsi="Sylfaen"/>
        </w:rPr>
        <w:t xml:space="preserve"> </w:t>
      </w:r>
      <w:r w:rsidR="00E90731">
        <w:rPr>
          <w:rFonts w:ascii="Sylfaen" w:hAnsi="Sylfaen"/>
        </w:rPr>
        <w:t>të shpejtë</w:t>
      </w:r>
      <w:r w:rsidR="00081720">
        <w:rPr>
          <w:rFonts w:ascii="Sylfaen" w:hAnsi="Sylfaen"/>
        </w:rPr>
        <w:t xml:space="preserve"> dhe efikase</w:t>
      </w:r>
      <w:r w:rsidR="00E90731">
        <w:rPr>
          <w:rFonts w:ascii="Sylfaen" w:hAnsi="Sylfaen"/>
        </w:rPr>
        <w:t xml:space="preserve">, dhe </w:t>
      </w:r>
      <w:r w:rsidR="00081720">
        <w:rPr>
          <w:rFonts w:ascii="Sylfaen" w:hAnsi="Sylfaen"/>
        </w:rPr>
        <w:t xml:space="preserve"> se </w:t>
      </w:r>
      <w:r w:rsidR="00E90731">
        <w:rPr>
          <w:rFonts w:ascii="Sylfaen" w:hAnsi="Sylfaen"/>
        </w:rPr>
        <w:t>një zgjidhje</w:t>
      </w:r>
      <w:r w:rsidR="007D0D3C">
        <w:rPr>
          <w:rFonts w:ascii="Sylfaen" w:hAnsi="Sylfaen"/>
        </w:rPr>
        <w:t xml:space="preserve"> e shpejtë</w:t>
      </w:r>
      <w:r w:rsidR="00E90731">
        <w:rPr>
          <w:rFonts w:ascii="Sylfaen" w:hAnsi="Sylfaen"/>
        </w:rPr>
        <w:t xml:space="preserve"> e këtyre </w:t>
      </w:r>
      <w:r w:rsidR="008B2586">
        <w:rPr>
          <w:rFonts w:ascii="Sylfaen" w:hAnsi="Sylfaen"/>
        </w:rPr>
        <w:t>lëndëve</w:t>
      </w:r>
      <w:r w:rsidR="007D0D3C">
        <w:rPr>
          <w:rFonts w:ascii="Sylfaen" w:hAnsi="Sylfaen"/>
        </w:rPr>
        <w:t xml:space="preserve"> do të ndikonte </w:t>
      </w:r>
      <w:r w:rsidR="003D5ACD" w:rsidRPr="0032282E">
        <w:rPr>
          <w:rFonts w:ascii="Sylfaen" w:hAnsi="Sylfaen"/>
        </w:rPr>
        <w:t>në</w:t>
      </w:r>
      <w:r w:rsidR="003D5ACD">
        <w:rPr>
          <w:rFonts w:ascii="Sylfaen" w:hAnsi="Sylfaen"/>
        </w:rPr>
        <w:t xml:space="preserve"> lehtësimin e procedurave për  liberalizimin e </w:t>
      </w:r>
      <w:r w:rsidR="003D5ACD" w:rsidRPr="0032282E">
        <w:rPr>
          <w:rFonts w:ascii="Sylfaen" w:hAnsi="Sylfaen"/>
        </w:rPr>
        <w:t xml:space="preserve"> vizave për qytetarët  </w:t>
      </w:r>
      <w:r w:rsidR="003D5ACD">
        <w:rPr>
          <w:rFonts w:ascii="Sylfaen" w:hAnsi="Sylfaen"/>
        </w:rPr>
        <w:t>e Republikës së Kosovës.</w:t>
      </w:r>
      <w:r w:rsidR="003D5ACD" w:rsidRPr="0032282E">
        <w:rPr>
          <w:rFonts w:ascii="Sylfaen" w:hAnsi="Sylfaen"/>
        </w:rPr>
        <w:t xml:space="preserve"> </w:t>
      </w:r>
    </w:p>
    <w:p w:rsidR="00033C24" w:rsidRPr="00B23A43" w:rsidRDefault="008B2586" w:rsidP="003D5ACD">
      <w:pPr>
        <w:pStyle w:val="Header"/>
        <w:tabs>
          <w:tab w:val="left" w:pos="360"/>
          <w:tab w:val="left" w:pos="720"/>
        </w:tabs>
        <w:jc w:val="both"/>
        <w:outlineLvl w:val="0"/>
        <w:rPr>
          <w:rFonts w:ascii="Sylfaen" w:hAnsi="Sylfaen"/>
        </w:rPr>
      </w:pPr>
      <w:r w:rsidRPr="001F2529">
        <w:rPr>
          <w:rFonts w:ascii="Sylfaen" w:hAnsi="Sylfaen"/>
        </w:rPr>
        <w:lastRenderedPageBreak/>
        <w:t>KGJK,</w:t>
      </w:r>
      <w:r w:rsidR="003D5ACD">
        <w:rPr>
          <w:rFonts w:ascii="Sylfaen" w:hAnsi="Sylfaen"/>
        </w:rPr>
        <w:t xml:space="preserve"> në</w:t>
      </w:r>
      <w:r w:rsidR="00081720">
        <w:rPr>
          <w:rFonts w:ascii="Sylfaen" w:hAnsi="Sylfaen"/>
        </w:rPr>
        <w:t xml:space="preserve"> takimin e tij të datës 24 tetor 2018, </w:t>
      </w:r>
      <w:r w:rsidRPr="001F2529">
        <w:rPr>
          <w:rFonts w:ascii="Sylfaen" w:hAnsi="Sylfaen"/>
        </w:rPr>
        <w:t xml:space="preserve"> pasi e shqyrtoj </w:t>
      </w:r>
      <w:r w:rsidR="003D5ACD">
        <w:rPr>
          <w:rFonts w:ascii="Sylfaen" w:hAnsi="Sylfaen"/>
        </w:rPr>
        <w:t xml:space="preserve"> dhe e analizoj më</w:t>
      </w:r>
      <w:r>
        <w:rPr>
          <w:rFonts w:ascii="Sylfaen" w:hAnsi="Sylfaen"/>
        </w:rPr>
        <w:t xml:space="preserve"> </w:t>
      </w:r>
      <w:r w:rsidRPr="001F2529">
        <w:rPr>
          <w:rFonts w:ascii="Sylfaen" w:hAnsi="Sylfaen"/>
        </w:rPr>
        <w:t xml:space="preserve">kujdes kërkesën e </w:t>
      </w:r>
      <w:r w:rsidR="004C5DFA">
        <w:rPr>
          <w:rFonts w:ascii="Sylfaen" w:hAnsi="Sylfaen"/>
        </w:rPr>
        <w:t>kryetares</w:t>
      </w:r>
      <w:r>
        <w:rPr>
          <w:rFonts w:ascii="Sylfaen" w:hAnsi="Sylfaen"/>
        </w:rPr>
        <w:t xml:space="preserve"> së Gjykatës Themelore </w:t>
      </w:r>
      <w:r w:rsidR="003D5ACD">
        <w:rPr>
          <w:rFonts w:ascii="Sylfaen" w:hAnsi="Sylfaen"/>
        </w:rPr>
        <w:t xml:space="preserve">në </w:t>
      </w:r>
      <w:r w:rsidR="00B23A43">
        <w:rPr>
          <w:rFonts w:ascii="Sylfaen" w:hAnsi="Sylfaen"/>
        </w:rPr>
        <w:t>Prishtinë</w:t>
      </w:r>
      <w:r w:rsidRPr="001F2529">
        <w:rPr>
          <w:rFonts w:ascii="Sylfaen" w:hAnsi="Sylfaen"/>
        </w:rPr>
        <w:t xml:space="preserve">, </w:t>
      </w:r>
      <w:proofErr w:type="spellStart"/>
      <w:r w:rsidR="00081720">
        <w:rPr>
          <w:rFonts w:ascii="Sylfaen" w:hAnsi="Sylfaen"/>
        </w:rPr>
        <w:t>znj</w:t>
      </w:r>
      <w:proofErr w:type="spellEnd"/>
      <w:r w:rsidR="00081720">
        <w:rPr>
          <w:rFonts w:ascii="Sylfaen" w:hAnsi="Sylfaen"/>
        </w:rPr>
        <w:t xml:space="preserve">. Aferdita Bytyqi, </w:t>
      </w:r>
      <w:r w:rsidR="00B23A43">
        <w:rPr>
          <w:rFonts w:ascii="Sylfaen" w:hAnsi="Sylfaen"/>
        </w:rPr>
        <w:t xml:space="preserve">duke ditur </w:t>
      </w:r>
      <w:r w:rsidR="00081720">
        <w:rPr>
          <w:rFonts w:ascii="Sylfaen" w:hAnsi="Sylfaen"/>
        </w:rPr>
        <w:t>rëndësinë</w:t>
      </w:r>
      <w:r w:rsidR="00B23A43">
        <w:rPr>
          <w:rFonts w:ascii="Sylfaen" w:hAnsi="Sylfaen"/>
        </w:rPr>
        <w:t xml:space="preserve"> dhe interesin e Kosovës për zgjidhjen e l</w:t>
      </w:r>
      <w:r w:rsidR="003D5ACD">
        <w:rPr>
          <w:rFonts w:ascii="Sylfaen" w:hAnsi="Sylfaen"/>
        </w:rPr>
        <w:t>ëndë</w:t>
      </w:r>
      <w:r w:rsidR="00B23A43">
        <w:rPr>
          <w:rFonts w:ascii="Sylfaen" w:hAnsi="Sylfaen"/>
        </w:rPr>
        <w:t>ve të ashtuquajtura ‘’LV’’</w:t>
      </w:r>
      <w:r w:rsidR="00081720">
        <w:rPr>
          <w:rFonts w:ascii="Sylfaen" w:hAnsi="Sylfaen"/>
        </w:rPr>
        <w:t>, zgjidhja e</w:t>
      </w:r>
      <w:r w:rsidR="00B23A43">
        <w:rPr>
          <w:rFonts w:ascii="Sylfaen" w:hAnsi="Sylfaen"/>
        </w:rPr>
        <w:t xml:space="preserve"> </w:t>
      </w:r>
      <w:r w:rsidR="00081720">
        <w:rPr>
          <w:rFonts w:ascii="Sylfaen" w:hAnsi="Sylfaen"/>
        </w:rPr>
        <w:t>t</w:t>
      </w:r>
      <w:r w:rsidR="00B23A43">
        <w:rPr>
          <w:rFonts w:ascii="Sylfaen" w:hAnsi="Sylfaen"/>
        </w:rPr>
        <w:t xml:space="preserve">ë cilave do të </w:t>
      </w:r>
      <w:r w:rsidRPr="001F2529">
        <w:rPr>
          <w:rFonts w:ascii="Sylfaen" w:hAnsi="Sylfaen"/>
        </w:rPr>
        <w:t>ndikon drejtpërsëdrejti në  përmbush</w:t>
      </w:r>
      <w:r w:rsidR="003D5ACD">
        <w:rPr>
          <w:rFonts w:ascii="Sylfaen" w:hAnsi="Sylfaen"/>
        </w:rPr>
        <w:t>jen e kritereve për liberalizim</w:t>
      </w:r>
      <w:r w:rsidRPr="001F2529">
        <w:rPr>
          <w:rFonts w:ascii="Sylfaen" w:hAnsi="Sylfaen"/>
        </w:rPr>
        <w:t xml:space="preserve">  të vizave  të  vendit tonë drejtë BE-së</w:t>
      </w:r>
      <w:r w:rsidR="00081720">
        <w:rPr>
          <w:rFonts w:ascii="Sylfaen" w:hAnsi="Sylfaen"/>
        </w:rPr>
        <w:t>,</w:t>
      </w:r>
      <w:r w:rsidR="00B23A43">
        <w:rPr>
          <w:rFonts w:ascii="Sylfaen" w:hAnsi="Sylfaen"/>
        </w:rPr>
        <w:t xml:space="preserve"> vendosi që z. </w:t>
      </w:r>
      <w:proofErr w:type="spellStart"/>
      <w:r w:rsidR="002C1B28">
        <w:rPr>
          <w:rFonts w:ascii="Sylfaen" w:hAnsi="Sylfaen"/>
        </w:rPr>
        <w:t>Lutfi</w:t>
      </w:r>
      <w:proofErr w:type="spellEnd"/>
      <w:r w:rsidR="002C1B28">
        <w:rPr>
          <w:rFonts w:ascii="Sylfaen" w:hAnsi="Sylfaen"/>
        </w:rPr>
        <w:t xml:space="preserve"> Shala</w:t>
      </w:r>
      <w:r w:rsidR="003D5ACD">
        <w:rPr>
          <w:rFonts w:ascii="Sylfaen" w:hAnsi="Sylfaen"/>
        </w:rPr>
        <w:t xml:space="preserve">, gjyqtar në Gjykatën Themelore në </w:t>
      </w:r>
      <w:r w:rsidR="002C1B28">
        <w:rPr>
          <w:rFonts w:ascii="Sylfaen" w:hAnsi="Sylfaen"/>
        </w:rPr>
        <w:t>Gjakovë</w:t>
      </w:r>
      <w:r w:rsidR="00B23A43">
        <w:rPr>
          <w:rFonts w:ascii="Sylfaen" w:hAnsi="Sylfaen"/>
        </w:rPr>
        <w:t xml:space="preserve"> t’i vazhdohet transferimi i  përkohshëm nga Gjykata Themelore</w:t>
      </w:r>
      <w:r w:rsidR="003D5ACD">
        <w:rPr>
          <w:rFonts w:ascii="Sylfaen" w:hAnsi="Sylfaen"/>
        </w:rPr>
        <w:t xml:space="preserve"> në</w:t>
      </w:r>
      <w:r w:rsidR="00B23A43">
        <w:rPr>
          <w:rFonts w:ascii="Sylfaen" w:hAnsi="Sylfaen"/>
        </w:rPr>
        <w:t xml:space="preserve"> </w:t>
      </w:r>
      <w:r w:rsidR="002C1B28">
        <w:rPr>
          <w:rFonts w:ascii="Sylfaen" w:hAnsi="Sylfaen"/>
        </w:rPr>
        <w:t>Gjakovë</w:t>
      </w:r>
      <w:r w:rsidR="00B23A43">
        <w:rPr>
          <w:rFonts w:ascii="Sylfaen" w:hAnsi="Sylfaen"/>
        </w:rPr>
        <w:t xml:space="preserve"> në Gjykatën Themelore</w:t>
      </w:r>
      <w:r w:rsidR="003D5ACD">
        <w:rPr>
          <w:rFonts w:ascii="Sylfaen" w:hAnsi="Sylfaen"/>
        </w:rPr>
        <w:t xml:space="preserve"> në</w:t>
      </w:r>
      <w:r w:rsidR="00B23A43">
        <w:rPr>
          <w:rFonts w:ascii="Sylfaen" w:hAnsi="Sylfaen"/>
        </w:rPr>
        <w:t xml:space="preserve"> Prishtinë, Departamenti për Krime të Renda, në kohëzgjatje prej gjashtë(6) muajsh.</w:t>
      </w:r>
    </w:p>
    <w:p w:rsidR="004E5F72" w:rsidRPr="00A5491C" w:rsidRDefault="004E5F72" w:rsidP="004E5F72">
      <w:pPr>
        <w:jc w:val="both"/>
        <w:rPr>
          <w:rStyle w:val="normalchar1"/>
          <w:rFonts w:ascii="Sylfaen" w:hAnsi="Sylfaen"/>
          <w:sz w:val="22"/>
          <w:szCs w:val="22"/>
        </w:rPr>
      </w:pPr>
      <w:r w:rsidRPr="00A5491C">
        <w:rPr>
          <w:rFonts w:ascii="Sylfaen" w:hAnsi="Sylfaen"/>
        </w:rPr>
        <w:t>Andaj,  nga se u tha më lar</w:t>
      </w:r>
      <w:r w:rsidR="00C405CC">
        <w:rPr>
          <w:rFonts w:ascii="Sylfaen" w:hAnsi="Sylfaen"/>
        </w:rPr>
        <w:t>t</w:t>
      </w:r>
      <w:r w:rsidRPr="00A5491C">
        <w:rPr>
          <w:rFonts w:ascii="Sylfaen" w:hAnsi="Sylfaen"/>
        </w:rPr>
        <w:t>ë</w:t>
      </w:r>
      <w:bookmarkStart w:id="0" w:name="_GoBack"/>
      <w:bookmarkEnd w:id="0"/>
      <w:r w:rsidRPr="00A5491C">
        <w:rPr>
          <w:rFonts w:ascii="Sylfaen" w:hAnsi="Sylfaen"/>
        </w:rPr>
        <w:t xml:space="preserve"> u vendos si ne </w:t>
      </w:r>
      <w:proofErr w:type="spellStart"/>
      <w:r w:rsidRPr="00A5491C">
        <w:rPr>
          <w:rFonts w:ascii="Sylfaen" w:hAnsi="Sylfaen"/>
        </w:rPr>
        <w:t>dispozitiv</w:t>
      </w:r>
      <w:proofErr w:type="spellEnd"/>
      <w:r w:rsidRPr="00A5491C">
        <w:rPr>
          <w:rFonts w:ascii="Sylfaen" w:hAnsi="Sylfaen"/>
        </w:rPr>
        <w:t xml:space="preserve"> të këtij vendimi.</w:t>
      </w:r>
    </w:p>
    <w:p w:rsidR="004E5F72" w:rsidRPr="00A5491C" w:rsidRDefault="004E5F72" w:rsidP="004E5F72">
      <w:pPr>
        <w:jc w:val="both"/>
        <w:rPr>
          <w:rStyle w:val="normalchar1"/>
          <w:rFonts w:ascii="Sylfaen" w:hAnsi="Sylfaen"/>
          <w:sz w:val="22"/>
          <w:szCs w:val="22"/>
        </w:rPr>
      </w:pPr>
    </w:p>
    <w:p w:rsidR="0004534F" w:rsidRDefault="0004534F" w:rsidP="0004534F">
      <w:pPr>
        <w:ind w:left="5760"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Nehat IDRIZI, </w:t>
      </w:r>
    </w:p>
    <w:p w:rsidR="0004534F" w:rsidRDefault="0004534F" w:rsidP="0004534F">
      <w:pPr>
        <w:pStyle w:val="NoSpacing"/>
      </w:pPr>
    </w:p>
    <w:p w:rsidR="0004534F" w:rsidRDefault="0004534F" w:rsidP="0004534F">
      <w:pPr>
        <w:tabs>
          <w:tab w:val="left" w:pos="1740"/>
        </w:tabs>
        <w:ind w:left="504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Kryesues i Këshilli Gjyqësor të Kosovës</w:t>
      </w:r>
    </w:p>
    <w:p w:rsidR="0004534F" w:rsidRDefault="0004534F" w:rsidP="0004534F">
      <w:pPr>
        <w:tabs>
          <w:tab w:val="left" w:pos="8931"/>
        </w:tabs>
        <w:spacing w:after="120" w:line="240" w:lineRule="auto"/>
        <w:ind w:left="5760" w:right="-45"/>
        <w:rPr>
          <w:rFonts w:ascii="Sylfaen" w:hAnsi="Sylfaen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261620</wp:posOffset>
                </wp:positionV>
                <wp:extent cx="4610100" cy="1791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79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F" w:rsidRPr="00224437" w:rsidRDefault="0004534F" w:rsidP="0004534F">
                            <w:p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Kopje e vendimi i dërgohet:</w:t>
                            </w:r>
                          </w:p>
                          <w:p w:rsidR="0004534F" w:rsidRPr="00224437" w:rsidRDefault="00B23A43" w:rsidP="004E5F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Z. </w:t>
                            </w:r>
                            <w:proofErr w:type="spellStart"/>
                            <w:r w:rsidR="002C1B28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Lutfi</w:t>
                            </w:r>
                            <w:proofErr w:type="spellEnd"/>
                            <w:r w:rsidR="002C1B28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 Shala</w:t>
                            </w: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 gjyqtar i transferuar ne Gjykatën Themelore Prishtinë</w:t>
                            </w:r>
                            <w:r w:rsidR="0004534F" w:rsidRPr="00224437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534F" w:rsidRPr="00224437" w:rsidRDefault="0004534F" w:rsidP="000453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Kryetares të Gjykatës Themelore  Prishtinë;</w:t>
                            </w:r>
                          </w:p>
                          <w:p w:rsidR="0004534F" w:rsidRPr="00224437" w:rsidRDefault="0004534F" w:rsidP="000453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Kryetarit të Gjykatës Themelore  </w:t>
                            </w:r>
                            <w:r w:rsidR="002C1B28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Gjakovë</w:t>
                            </w:r>
                            <w:r w:rsidR="00463E95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534F" w:rsidRPr="00224437" w:rsidRDefault="0004534F" w:rsidP="000453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Arkivit.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20.6pt;width:363pt;height:1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5DCgIAAPM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" filled="f" stroked="f">
                <v:textbox>
                  <w:txbxContent>
                    <w:p w:rsidR="0004534F" w:rsidRPr="00224437" w:rsidRDefault="0004534F" w:rsidP="0004534F">
                      <w:p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Kopje e vendimi i dërgohet:</w:t>
                      </w:r>
                    </w:p>
                    <w:p w:rsidR="0004534F" w:rsidRPr="00224437" w:rsidRDefault="00B23A43" w:rsidP="004E5F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Z. </w:t>
                      </w:r>
                      <w:proofErr w:type="spellStart"/>
                      <w:r w:rsidR="002C1B28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Lutfi</w:t>
                      </w:r>
                      <w:proofErr w:type="spellEnd"/>
                      <w:r w:rsidR="002C1B28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 Shala</w:t>
                      </w: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 gjyqtar i transferuar ne Gjykatën Themelore Prishtinë</w:t>
                      </w:r>
                      <w:r w:rsidR="0004534F" w:rsidRPr="00224437">
                        <w:rPr>
                          <w:rFonts w:ascii="Sylfaen" w:hAnsi="Sylfaen"/>
                          <w:sz w:val="20"/>
                          <w:szCs w:val="20"/>
                        </w:rPr>
                        <w:t>;</w:t>
                      </w:r>
                    </w:p>
                    <w:p w:rsidR="0004534F" w:rsidRPr="00224437" w:rsidRDefault="0004534F" w:rsidP="000453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Kryetares të Gjykatës Themelore  Prishtinë;</w:t>
                      </w:r>
                    </w:p>
                    <w:p w:rsidR="0004534F" w:rsidRPr="00224437" w:rsidRDefault="0004534F" w:rsidP="000453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Kryetarit të Gjykatës Themelore  </w:t>
                      </w:r>
                      <w:r w:rsidR="002C1B28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Gjakovë</w:t>
                      </w:r>
                      <w:bookmarkStart w:id="1" w:name="_GoBack"/>
                      <w:bookmarkEnd w:id="1"/>
                      <w:r w:rsidR="00463E95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534F" w:rsidRPr="00224437" w:rsidRDefault="0004534F" w:rsidP="000453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Arkivit.</w:t>
                      </w:r>
                    </w:p>
                  </w:txbxContent>
                </v:textbox>
              </v:shape>
            </w:pict>
          </mc:Fallback>
        </mc:AlternateContent>
      </w:r>
    </w:p>
    <w:p w:rsidR="0004534F" w:rsidRDefault="0004534F" w:rsidP="0004534F">
      <w:pPr>
        <w:ind w:left="142" w:right="96"/>
      </w:pPr>
    </w:p>
    <w:p w:rsidR="0004534F" w:rsidRDefault="0004534F" w:rsidP="0004534F">
      <w:pPr>
        <w:ind w:left="142" w:right="96"/>
      </w:pPr>
    </w:p>
    <w:p w:rsidR="0004534F" w:rsidRDefault="0004534F" w:rsidP="0004534F"/>
    <w:p w:rsidR="0004534F" w:rsidRDefault="0004534F" w:rsidP="00EE075D">
      <w:pPr>
        <w:spacing w:after="120" w:line="240" w:lineRule="auto"/>
        <w:ind w:right="-45"/>
        <w:rPr>
          <w:rFonts w:ascii="Sylfaen" w:hAnsi="Sylfaen"/>
        </w:rPr>
      </w:pPr>
    </w:p>
    <w:p w:rsidR="0004534F" w:rsidRDefault="0004534F" w:rsidP="00EE075D">
      <w:pPr>
        <w:spacing w:after="120" w:line="240" w:lineRule="auto"/>
        <w:ind w:right="-45"/>
        <w:rPr>
          <w:rFonts w:ascii="Sylfaen" w:hAnsi="Sylfaen"/>
        </w:rPr>
      </w:pPr>
    </w:p>
    <w:p w:rsidR="007127BA" w:rsidRPr="007127BA" w:rsidRDefault="007127BA" w:rsidP="0004534F">
      <w:pPr>
        <w:spacing w:after="120" w:line="240" w:lineRule="auto"/>
        <w:ind w:right="720"/>
        <w:rPr>
          <w:rFonts w:ascii="Sylfaen" w:hAnsi="Sylfaen"/>
          <w:b/>
          <w:sz w:val="28"/>
        </w:rPr>
      </w:pPr>
    </w:p>
    <w:sectPr w:rsidR="007127BA" w:rsidRPr="007127BA" w:rsidSect="00157AD6">
      <w:headerReference w:type="first" r:id="rId7"/>
      <w:pgSz w:w="12240" w:h="15840"/>
      <w:pgMar w:top="1440" w:right="1440" w:bottom="1135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84" w:rsidRDefault="004E2A84" w:rsidP="0003453F">
      <w:r>
        <w:separator/>
      </w:r>
    </w:p>
  </w:endnote>
  <w:endnote w:type="continuationSeparator" w:id="0">
    <w:p w:rsidR="004E2A84" w:rsidRDefault="004E2A84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84" w:rsidRDefault="004E2A84" w:rsidP="0003453F">
      <w:r>
        <w:separator/>
      </w:r>
    </w:p>
  </w:footnote>
  <w:footnote w:type="continuationSeparator" w:id="0">
    <w:p w:rsidR="004E2A84" w:rsidRDefault="004E2A84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4" name="Picture 4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253CE"/>
    <w:multiLevelType w:val="hybridMultilevel"/>
    <w:tmpl w:val="D766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541B"/>
    <w:multiLevelType w:val="hybridMultilevel"/>
    <w:tmpl w:val="2A52D35A"/>
    <w:lvl w:ilvl="0" w:tplc="10C0E5CA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C2"/>
    <w:rsid w:val="000077C2"/>
    <w:rsid w:val="00033C24"/>
    <w:rsid w:val="0003453F"/>
    <w:rsid w:val="0004534F"/>
    <w:rsid w:val="00061F36"/>
    <w:rsid w:val="00073A03"/>
    <w:rsid w:val="00081720"/>
    <w:rsid w:val="0008774A"/>
    <w:rsid w:val="000B384F"/>
    <w:rsid w:val="000E4325"/>
    <w:rsid w:val="00146B43"/>
    <w:rsid w:val="00157AD6"/>
    <w:rsid w:val="001611C8"/>
    <w:rsid w:val="0016248D"/>
    <w:rsid w:val="00183EA0"/>
    <w:rsid w:val="001C12C5"/>
    <w:rsid w:val="001D1357"/>
    <w:rsid w:val="001E54BC"/>
    <w:rsid w:val="001E5766"/>
    <w:rsid w:val="001F1476"/>
    <w:rsid w:val="00216B24"/>
    <w:rsid w:val="00224437"/>
    <w:rsid w:val="002249A7"/>
    <w:rsid w:val="00243E76"/>
    <w:rsid w:val="00245D67"/>
    <w:rsid w:val="002506FA"/>
    <w:rsid w:val="00251F13"/>
    <w:rsid w:val="00253E92"/>
    <w:rsid w:val="00273702"/>
    <w:rsid w:val="00275FB8"/>
    <w:rsid w:val="002A1434"/>
    <w:rsid w:val="002C1B28"/>
    <w:rsid w:val="002C6B1D"/>
    <w:rsid w:val="00317539"/>
    <w:rsid w:val="00324E20"/>
    <w:rsid w:val="0035041D"/>
    <w:rsid w:val="00352BA9"/>
    <w:rsid w:val="00366D2A"/>
    <w:rsid w:val="003B6B33"/>
    <w:rsid w:val="003D5ACD"/>
    <w:rsid w:val="003F4BA7"/>
    <w:rsid w:val="00415604"/>
    <w:rsid w:val="00416592"/>
    <w:rsid w:val="00434F6F"/>
    <w:rsid w:val="00447F15"/>
    <w:rsid w:val="00450A94"/>
    <w:rsid w:val="00463E95"/>
    <w:rsid w:val="0047417F"/>
    <w:rsid w:val="00480475"/>
    <w:rsid w:val="004C5DFA"/>
    <w:rsid w:val="004E209B"/>
    <w:rsid w:val="004E2A84"/>
    <w:rsid w:val="004E5F72"/>
    <w:rsid w:val="004F52A3"/>
    <w:rsid w:val="004F79B6"/>
    <w:rsid w:val="0054254D"/>
    <w:rsid w:val="00542DE9"/>
    <w:rsid w:val="00543D16"/>
    <w:rsid w:val="00560681"/>
    <w:rsid w:val="005763A2"/>
    <w:rsid w:val="005840E3"/>
    <w:rsid w:val="00592264"/>
    <w:rsid w:val="00596797"/>
    <w:rsid w:val="005B488A"/>
    <w:rsid w:val="005B7B54"/>
    <w:rsid w:val="005C57B2"/>
    <w:rsid w:val="005D4AE7"/>
    <w:rsid w:val="00640988"/>
    <w:rsid w:val="00647DE3"/>
    <w:rsid w:val="00700574"/>
    <w:rsid w:val="007127BA"/>
    <w:rsid w:val="00752F63"/>
    <w:rsid w:val="0075514C"/>
    <w:rsid w:val="00764554"/>
    <w:rsid w:val="0078386C"/>
    <w:rsid w:val="00792749"/>
    <w:rsid w:val="00796E9A"/>
    <w:rsid w:val="007D0D3C"/>
    <w:rsid w:val="007D1E2F"/>
    <w:rsid w:val="007E7A56"/>
    <w:rsid w:val="007F1FC5"/>
    <w:rsid w:val="00806285"/>
    <w:rsid w:val="008077E9"/>
    <w:rsid w:val="00840286"/>
    <w:rsid w:val="0086297B"/>
    <w:rsid w:val="008B2586"/>
    <w:rsid w:val="008C5DD1"/>
    <w:rsid w:val="008C6ED6"/>
    <w:rsid w:val="008D5A7D"/>
    <w:rsid w:val="008E1D56"/>
    <w:rsid w:val="0097505A"/>
    <w:rsid w:val="009755BC"/>
    <w:rsid w:val="0097715C"/>
    <w:rsid w:val="009775CE"/>
    <w:rsid w:val="0099663D"/>
    <w:rsid w:val="009B71A5"/>
    <w:rsid w:val="009C3DA9"/>
    <w:rsid w:val="009D7CB5"/>
    <w:rsid w:val="009E5DC7"/>
    <w:rsid w:val="009F7A8E"/>
    <w:rsid w:val="009F7DDA"/>
    <w:rsid w:val="00A14682"/>
    <w:rsid w:val="00A35A6D"/>
    <w:rsid w:val="00A429F8"/>
    <w:rsid w:val="00A50B36"/>
    <w:rsid w:val="00A5491C"/>
    <w:rsid w:val="00A553CA"/>
    <w:rsid w:val="00A64A52"/>
    <w:rsid w:val="00A9740A"/>
    <w:rsid w:val="00AF6E36"/>
    <w:rsid w:val="00B2222C"/>
    <w:rsid w:val="00B23A43"/>
    <w:rsid w:val="00B3736A"/>
    <w:rsid w:val="00B65BDF"/>
    <w:rsid w:val="00B73380"/>
    <w:rsid w:val="00B837BE"/>
    <w:rsid w:val="00B84793"/>
    <w:rsid w:val="00BB0210"/>
    <w:rsid w:val="00BE2BB2"/>
    <w:rsid w:val="00BF0E9F"/>
    <w:rsid w:val="00C04EAB"/>
    <w:rsid w:val="00C10C7A"/>
    <w:rsid w:val="00C261F5"/>
    <w:rsid w:val="00C405CC"/>
    <w:rsid w:val="00C4603E"/>
    <w:rsid w:val="00C52652"/>
    <w:rsid w:val="00C541C3"/>
    <w:rsid w:val="00C54B23"/>
    <w:rsid w:val="00C824F7"/>
    <w:rsid w:val="00CC4BEC"/>
    <w:rsid w:val="00D4429D"/>
    <w:rsid w:val="00D80BED"/>
    <w:rsid w:val="00D82C04"/>
    <w:rsid w:val="00D834C6"/>
    <w:rsid w:val="00D84FE3"/>
    <w:rsid w:val="00D85F08"/>
    <w:rsid w:val="00D85F5A"/>
    <w:rsid w:val="00DA29BC"/>
    <w:rsid w:val="00DB7B24"/>
    <w:rsid w:val="00DD5C85"/>
    <w:rsid w:val="00DE6AF6"/>
    <w:rsid w:val="00E0627E"/>
    <w:rsid w:val="00E109C3"/>
    <w:rsid w:val="00E15A39"/>
    <w:rsid w:val="00E90731"/>
    <w:rsid w:val="00EA2435"/>
    <w:rsid w:val="00EE075D"/>
    <w:rsid w:val="00EE10E6"/>
    <w:rsid w:val="00EE42EF"/>
    <w:rsid w:val="00EF3A56"/>
    <w:rsid w:val="00F11BA3"/>
    <w:rsid w:val="00F162B4"/>
    <w:rsid w:val="00F24825"/>
    <w:rsid w:val="00F4187A"/>
    <w:rsid w:val="00F43B88"/>
    <w:rsid w:val="00F477CC"/>
    <w:rsid w:val="00F531B1"/>
    <w:rsid w:val="00F710B9"/>
    <w:rsid w:val="00F85E1E"/>
    <w:rsid w:val="00F86744"/>
    <w:rsid w:val="00FB29D0"/>
    <w:rsid w:val="00FC1522"/>
    <w:rsid w:val="00FC247B"/>
    <w:rsid w:val="00FC4BDD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92D8"/>
  <w15:docId w15:val="{8CE52D38-0F6E-4415-861C-5D47555D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04534F"/>
    <w:pPr>
      <w:spacing w:after="0" w:line="240" w:lineRule="auto"/>
    </w:pPr>
    <w:rPr>
      <w:lang w:val="sq-AL"/>
    </w:rPr>
  </w:style>
  <w:style w:type="character" w:customStyle="1" w:styleId="normalchar1">
    <w:name w:val="normal__char1"/>
    <w:basedOn w:val="DefaultParagraphFont"/>
    <w:rsid w:val="004E5F7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6</cp:revision>
  <cp:lastPrinted>2018-02-01T07:54:00Z</cp:lastPrinted>
  <dcterms:created xsi:type="dcterms:W3CDTF">2018-10-29T11:47:00Z</dcterms:created>
  <dcterms:modified xsi:type="dcterms:W3CDTF">2018-10-31T10:54:00Z</dcterms:modified>
</cp:coreProperties>
</file>